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D3" w:rsidRDefault="009E6EE7">
      <w:pPr>
        <w:spacing w:line="560" w:lineRule="exact"/>
        <w:jc w:val="center"/>
        <w:rPr>
          <w:rFonts w:ascii="宋体" w:eastAsia="宋体" w:hAnsi="宋体" w:cs="宋体"/>
          <w:color w:val="000000"/>
          <w:sz w:val="40"/>
          <w:szCs w:val="40"/>
        </w:rPr>
      </w:pPr>
      <w:proofErr w:type="gramStart"/>
      <w:r>
        <w:rPr>
          <w:rFonts w:ascii="宋体" w:eastAsia="宋体" w:hAnsi="宋体" w:cs="宋体" w:hint="eastAsia"/>
          <w:color w:val="000000"/>
          <w:sz w:val="40"/>
          <w:szCs w:val="40"/>
        </w:rPr>
        <w:t>达州市</w:t>
      </w:r>
      <w:proofErr w:type="gramEnd"/>
      <w:r>
        <w:rPr>
          <w:rFonts w:ascii="宋体" w:eastAsia="宋体" w:hAnsi="宋体" w:cs="宋体" w:hint="eastAsia"/>
          <w:color w:val="000000"/>
          <w:sz w:val="40"/>
          <w:szCs w:val="40"/>
        </w:rPr>
        <w:t>疾病预防控制中心仪器设备检测</w:t>
      </w:r>
    </w:p>
    <w:p w:rsidR="009150D3" w:rsidRDefault="009E6EE7">
      <w:pPr>
        <w:spacing w:line="560" w:lineRule="exact"/>
        <w:jc w:val="center"/>
        <w:rPr>
          <w:rFonts w:ascii="宋体" w:eastAsia="宋体" w:hAnsi="宋体" w:cs="宋体"/>
          <w:b/>
          <w:color w:val="333333"/>
          <w:spacing w:val="15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sz w:val="40"/>
          <w:szCs w:val="40"/>
        </w:rPr>
        <w:t>比选细则</w:t>
      </w:r>
    </w:p>
    <w:p w:rsidR="009150D3" w:rsidRDefault="009150D3">
      <w:pPr>
        <w:spacing w:line="560" w:lineRule="exact"/>
        <w:jc w:val="center"/>
        <w:rPr>
          <w:rFonts w:ascii="宋体" w:eastAsia="宋体" w:hAnsi="宋体" w:cs="宋体"/>
        </w:rPr>
      </w:pPr>
    </w:p>
    <w:p w:rsidR="009150D3" w:rsidRDefault="009E6EE7">
      <w:pPr>
        <w:spacing w:line="560" w:lineRule="exact"/>
        <w:rPr>
          <w:rFonts w:ascii="宋体" w:eastAsia="宋体" w:hAnsi="宋体" w:cs="宋体"/>
          <w:spacing w:val="-11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一、项目名称：</w:t>
      </w:r>
      <w:r>
        <w:rPr>
          <w:rFonts w:ascii="宋体" w:eastAsia="宋体" w:hAnsi="宋体" w:cs="宋体" w:hint="eastAsia"/>
          <w:spacing w:val="-11"/>
          <w:sz w:val="32"/>
          <w:szCs w:val="32"/>
        </w:rPr>
        <w:t>州市疾病预防控制中心仪器设备检测服务</w:t>
      </w:r>
    </w:p>
    <w:p w:rsidR="009150D3" w:rsidRDefault="009E6EE7">
      <w:pPr>
        <w:spacing w:line="560" w:lineRule="exact"/>
        <w:ind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二、服务内容</w:t>
      </w:r>
    </w:p>
    <w:p w:rsidR="009150D3" w:rsidRDefault="009E6EE7">
      <w:pPr>
        <w:ind w:firstLineChars="200" w:firstLine="640"/>
        <w:rPr>
          <w:rFonts w:ascii="宋体" w:eastAsia="宋体" w:hAnsi="宋体" w:cs="宋体"/>
          <w:bCs/>
          <w:sz w:val="32"/>
          <w:szCs w:val="32"/>
        </w:rPr>
      </w:pPr>
      <w:r>
        <w:rPr>
          <w:rFonts w:ascii="宋体" w:eastAsia="宋体" w:hAnsi="宋体" w:cs="宋体" w:hint="eastAsia"/>
          <w:bCs/>
          <w:sz w:val="32"/>
          <w:szCs w:val="32"/>
        </w:rPr>
        <w:t>仪器设备检测</w:t>
      </w:r>
    </w:p>
    <w:p w:rsidR="009150D3" w:rsidRDefault="009E6EE7">
      <w:pPr>
        <w:spacing w:line="560" w:lineRule="exact"/>
        <w:ind w:firstLineChars="200" w:firstLine="640"/>
        <w:rPr>
          <w:rFonts w:ascii="宋体" w:eastAsia="宋体" w:hAnsi="宋体" w:cs="宋体"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三、比选单位须提供的相关材料</w:t>
      </w:r>
    </w:p>
    <w:p w:rsidR="009150D3" w:rsidRDefault="009E6EE7">
      <w:pPr>
        <w:spacing w:line="560" w:lineRule="exact"/>
        <w:ind w:firstLineChars="200" w:firstLine="640"/>
        <w:rPr>
          <w:rFonts w:ascii="宋体" w:eastAsia="宋体" w:hAnsi="宋体" w:cs="宋体"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（一）资质材料。比选单位须提供符合比选资格要求的所有证明材料。</w:t>
      </w:r>
    </w:p>
    <w:p w:rsidR="009150D3" w:rsidRDefault="009E6EE7">
      <w:pPr>
        <w:spacing w:line="560" w:lineRule="exact"/>
        <w:ind w:firstLineChars="200" w:firstLine="640"/>
        <w:rPr>
          <w:rFonts w:ascii="宋体" w:eastAsia="宋体" w:hAnsi="宋体" w:cs="宋体"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注：必须具备独立的法人资格，具有独立承担民事责任的能力；具有良好的商业信誉和健全的财务会计制度；具有履行合同所必需的资质和专业技术能力；在经营活动中没有违法记录。</w:t>
      </w:r>
    </w:p>
    <w:p w:rsidR="009150D3" w:rsidRDefault="009E6EE7">
      <w:pPr>
        <w:spacing w:line="560" w:lineRule="exact"/>
        <w:ind w:firstLineChars="200" w:firstLine="640"/>
        <w:rPr>
          <w:rFonts w:ascii="宋体" w:eastAsia="宋体" w:hAnsi="宋体" w:cs="宋体"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（二）综合材料。比选单位还须提供过往业绩、项目报价、项目方案等证明材料并加盖</w:t>
      </w:r>
      <w:proofErr w:type="gramStart"/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单位鲜章作为</w:t>
      </w:r>
      <w:proofErr w:type="gramEnd"/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比选评分的参考依据。包含但不仅限于以上材料。</w:t>
      </w:r>
    </w:p>
    <w:p w:rsidR="009150D3" w:rsidRDefault="009E6EE7">
      <w:pPr>
        <w:spacing w:line="560" w:lineRule="exact"/>
        <w:ind w:firstLineChars="200" w:firstLine="643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1. 业绩证明。</w:t>
      </w:r>
      <w:r>
        <w:rPr>
          <w:rFonts w:ascii="宋体" w:eastAsia="宋体" w:hAnsi="宋体" w:cs="宋体" w:hint="eastAsia"/>
          <w:sz w:val="32"/>
          <w:szCs w:val="32"/>
        </w:rPr>
        <w:t>须提供单位近年来所取得的与本比选项目有关的业绩。</w:t>
      </w:r>
    </w:p>
    <w:p w:rsidR="009150D3" w:rsidRDefault="009E6EE7">
      <w:pPr>
        <w:spacing w:line="560" w:lineRule="exact"/>
        <w:ind w:firstLineChars="200" w:firstLine="643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2. 项目报价。</w:t>
      </w:r>
      <w:r>
        <w:rPr>
          <w:rFonts w:ascii="宋体" w:eastAsia="宋体" w:hAnsi="宋体" w:cs="宋体" w:hint="eastAsia"/>
          <w:sz w:val="32"/>
          <w:szCs w:val="32"/>
        </w:rPr>
        <w:t>应含总价和报价明细。</w:t>
      </w:r>
    </w:p>
    <w:p w:rsidR="009150D3" w:rsidRDefault="009E6EE7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注：上述材料须加盖单位鲜章，备齐后投交比选方。</w:t>
      </w:r>
    </w:p>
    <w:p w:rsidR="009150D3" w:rsidRDefault="009E6EE7">
      <w:pPr>
        <w:spacing w:line="560" w:lineRule="exact"/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四、比选程序</w:t>
      </w:r>
    </w:p>
    <w:p w:rsidR="009150D3" w:rsidRDefault="009E6EE7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（一）公告。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达州市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疾病预防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控制中心官网发布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仪器设备检测比选公告</w:t>
      </w:r>
    </w:p>
    <w:p w:rsidR="009150D3" w:rsidRDefault="009E6EE7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（二）组织比选。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由达州市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疾病预防控制中心有关工作人员组成评审小组对比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选资料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进行打分评选，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达州市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疾病预防控制中心监审科全程参与监督。</w:t>
      </w:r>
    </w:p>
    <w:p w:rsidR="009150D3" w:rsidRDefault="009E6EE7">
      <w:pPr>
        <w:spacing w:line="560" w:lineRule="exact"/>
        <w:ind w:firstLineChars="200" w:firstLine="643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1. 资格审查。</w:t>
      </w:r>
      <w:r>
        <w:rPr>
          <w:rFonts w:ascii="宋体" w:eastAsia="宋体" w:hAnsi="宋体" w:cs="宋体" w:hint="eastAsia"/>
          <w:sz w:val="32"/>
          <w:szCs w:val="32"/>
        </w:rPr>
        <w:t>即具备仪器检测鉴定等相应资格的审查</w:t>
      </w:r>
      <w:r w:rsidRPr="00455180">
        <w:rPr>
          <w:rFonts w:ascii="宋体" w:eastAsia="宋体" w:hAnsi="宋体" w:cs="宋体" w:hint="eastAsia"/>
          <w:color w:val="000000" w:themeColor="text1"/>
          <w:sz w:val="32"/>
          <w:szCs w:val="32"/>
        </w:rPr>
        <w:t>（若供应商不具备个别仪器检测</w:t>
      </w:r>
      <w:r w:rsidR="00455180" w:rsidRPr="00455180">
        <w:rPr>
          <w:rFonts w:ascii="宋体" w:eastAsia="宋体" w:hAnsi="宋体" w:cs="宋体" w:hint="eastAsia"/>
          <w:color w:val="000000" w:themeColor="text1"/>
          <w:sz w:val="32"/>
          <w:szCs w:val="32"/>
        </w:rPr>
        <w:t>检</w:t>
      </w:r>
      <w:r w:rsidRPr="00455180">
        <w:rPr>
          <w:rFonts w:ascii="宋体" w:eastAsia="宋体" w:hAnsi="宋体" w:cs="宋体" w:hint="eastAsia"/>
          <w:color w:val="000000" w:themeColor="text1"/>
          <w:sz w:val="32"/>
          <w:szCs w:val="32"/>
        </w:rPr>
        <w:t>定资格</w:t>
      </w:r>
      <w:r w:rsidR="00455180" w:rsidRPr="00455180">
        <w:rPr>
          <w:rFonts w:ascii="宋体" w:eastAsia="宋体" w:hAnsi="宋体" w:cs="宋体" w:hint="eastAsia"/>
          <w:color w:val="000000" w:themeColor="text1"/>
          <w:sz w:val="32"/>
          <w:szCs w:val="32"/>
        </w:rPr>
        <w:t>，</w:t>
      </w:r>
      <w:r w:rsidRPr="00455180">
        <w:rPr>
          <w:rFonts w:ascii="宋体" w:eastAsia="宋体" w:hAnsi="宋体" w:cs="宋体" w:hint="eastAsia"/>
          <w:color w:val="000000" w:themeColor="text1"/>
          <w:sz w:val="32"/>
          <w:szCs w:val="32"/>
        </w:rPr>
        <w:t>需注明分包给具有该仪器检测</w:t>
      </w:r>
      <w:r w:rsidR="00455180" w:rsidRPr="00455180">
        <w:rPr>
          <w:rFonts w:ascii="宋体" w:eastAsia="宋体" w:hAnsi="宋体" w:cs="宋体" w:hint="eastAsia"/>
          <w:color w:val="000000" w:themeColor="text1"/>
          <w:sz w:val="32"/>
          <w:szCs w:val="32"/>
        </w:rPr>
        <w:t>检</w:t>
      </w:r>
      <w:r w:rsidRPr="00455180">
        <w:rPr>
          <w:rFonts w:ascii="宋体" w:eastAsia="宋体" w:hAnsi="宋体" w:cs="宋体" w:hint="eastAsia"/>
          <w:color w:val="000000" w:themeColor="text1"/>
          <w:sz w:val="32"/>
          <w:szCs w:val="32"/>
        </w:rPr>
        <w:t>定资格单位的名称）。此项审查若未通过，则视为无比选</w:t>
      </w:r>
      <w:r>
        <w:rPr>
          <w:rFonts w:ascii="宋体" w:eastAsia="宋体" w:hAnsi="宋体" w:cs="宋体" w:hint="eastAsia"/>
          <w:sz w:val="32"/>
          <w:szCs w:val="32"/>
        </w:rPr>
        <w:t>资格。</w:t>
      </w:r>
    </w:p>
    <w:p w:rsidR="009150D3" w:rsidRDefault="009E6EE7">
      <w:pPr>
        <w:spacing w:line="560" w:lineRule="exact"/>
        <w:ind w:firstLineChars="200" w:firstLine="643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2. 比选方法。</w:t>
      </w:r>
      <w:r>
        <w:rPr>
          <w:rFonts w:ascii="宋体" w:eastAsia="宋体" w:hAnsi="宋体" w:cs="宋体" w:hint="eastAsia"/>
          <w:sz w:val="32"/>
          <w:szCs w:val="32"/>
        </w:rPr>
        <w:t>采用综合评分法，即项目报价30分、项目方</w:t>
      </w: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</w:rPr>
        <w:t>案40分、综合实力30分，满分为100分。得分最高的单位为中选单位。</w:t>
      </w:r>
    </w:p>
    <w:p w:rsidR="009150D3" w:rsidRDefault="009E6EE7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注：项目报价得分以经评审的有效最低报价为比选基准价，最低报价得满分。其余报价人的报价得分按：项目报价得分（小数点后保留2位）=（比选基准价／项目报价）×30计算。</w:t>
      </w:r>
    </w:p>
    <w:p w:rsidR="009150D3" w:rsidRDefault="009E6EE7">
      <w:pPr>
        <w:spacing w:line="56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比选结果。按照“公开透明”的原则，由比选评审小组综合评分确定中选单位，现场签字确认，并将比选结果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在达州市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疾病预防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控制中心官网进行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公示。</w:t>
      </w:r>
    </w:p>
    <w:p w:rsidR="009150D3" w:rsidRDefault="009E6EE7">
      <w:pPr>
        <w:widowControl/>
        <w:shd w:val="clear" w:color="auto" w:fill="FFFFFF"/>
        <w:spacing w:line="440" w:lineRule="exact"/>
        <w:jc w:val="center"/>
        <w:outlineLvl w:val="2"/>
        <w:rPr>
          <w:rFonts w:ascii="宋体" w:eastAsia="宋体" w:hAnsi="宋体" w:cs="宋体"/>
          <w:b/>
          <w:color w:val="000000"/>
          <w:spacing w:val="-11"/>
          <w:kern w:val="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sz w:val="32"/>
          <w:szCs w:val="32"/>
        </w:rPr>
        <w:br w:type="page"/>
      </w:r>
      <w:proofErr w:type="gramStart"/>
      <w:r>
        <w:rPr>
          <w:rFonts w:ascii="宋体" w:eastAsia="宋体" w:hAnsi="宋体" w:cs="宋体" w:hint="eastAsia"/>
          <w:b/>
          <w:color w:val="000000"/>
          <w:spacing w:val="-11"/>
          <w:kern w:val="0"/>
          <w:sz w:val="32"/>
          <w:szCs w:val="32"/>
          <w:shd w:val="clear" w:color="auto" w:fill="FFFFFF"/>
        </w:rPr>
        <w:lastRenderedPageBreak/>
        <w:t>达州市</w:t>
      </w:r>
      <w:proofErr w:type="gramEnd"/>
      <w:r>
        <w:rPr>
          <w:rFonts w:ascii="宋体" w:eastAsia="宋体" w:hAnsi="宋体" w:cs="宋体" w:hint="eastAsia"/>
          <w:b/>
          <w:color w:val="000000"/>
          <w:spacing w:val="-11"/>
          <w:kern w:val="0"/>
          <w:sz w:val="32"/>
          <w:szCs w:val="32"/>
          <w:shd w:val="clear" w:color="auto" w:fill="FFFFFF"/>
        </w:rPr>
        <w:t>疾病预防控制中心</w:t>
      </w:r>
    </w:p>
    <w:p w:rsidR="009150D3" w:rsidRDefault="009E6EE7">
      <w:pPr>
        <w:widowControl/>
        <w:shd w:val="clear" w:color="auto" w:fill="FFFFFF"/>
        <w:spacing w:line="440" w:lineRule="exact"/>
        <w:jc w:val="center"/>
        <w:outlineLvl w:val="2"/>
        <w:rPr>
          <w:rFonts w:ascii="宋体" w:eastAsia="宋体" w:hAnsi="宋体" w:cs="宋体"/>
          <w:b/>
          <w:color w:val="000000"/>
          <w:spacing w:val="-11"/>
          <w:kern w:val="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pacing w:val="-11"/>
          <w:kern w:val="0"/>
          <w:sz w:val="32"/>
          <w:szCs w:val="32"/>
          <w:shd w:val="clear" w:color="auto" w:fill="FFFFFF"/>
        </w:rPr>
        <w:t>仪器设备检测鉴定比选评分表</w:t>
      </w:r>
    </w:p>
    <w:tbl>
      <w:tblPr>
        <w:tblW w:w="95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507"/>
        <w:gridCol w:w="836"/>
        <w:gridCol w:w="4485"/>
        <w:gridCol w:w="1292"/>
        <w:gridCol w:w="1003"/>
        <w:gridCol w:w="842"/>
      </w:tblGrid>
      <w:tr w:rsidR="009150D3">
        <w:trPr>
          <w:trHeight w:val="90"/>
          <w:jc w:val="center"/>
        </w:trPr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比选单位：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D3" w:rsidRDefault="009150D3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 </w:t>
            </w:r>
          </w:p>
        </w:tc>
      </w:tr>
      <w:tr w:rsidR="009150D3">
        <w:trPr>
          <w:trHeight w:val="9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评分项目</w:t>
            </w:r>
          </w:p>
        </w:tc>
        <w:tc>
          <w:tcPr>
            <w:tcW w:w="4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评分细则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参考分值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实际得分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9150D3">
        <w:trPr>
          <w:trHeight w:val="9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项目报价</w:t>
            </w:r>
          </w:p>
          <w:p w:rsidR="009150D3" w:rsidRDefault="009E6EE7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（30分)</w:t>
            </w:r>
          </w:p>
        </w:tc>
        <w:tc>
          <w:tcPr>
            <w:tcW w:w="4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项目报价得分以通过评审的有效最低报价为比选基准价，最低报价得满分。其余报价得分按：项目报价得分（小数点后保留2位）=(比选基准价／项目报价)×30计算。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50D3">
        <w:trPr>
          <w:trHeight w:val="90"/>
          <w:jc w:val="center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项目方案</w:t>
            </w:r>
          </w:p>
          <w:p w:rsidR="009150D3" w:rsidRDefault="009E6EE7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（40分 )</w:t>
            </w:r>
          </w:p>
        </w:tc>
        <w:tc>
          <w:tcPr>
            <w:tcW w:w="4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方案科学合理可执行度高。</w:t>
            </w:r>
          </w:p>
          <w:p w:rsidR="009150D3" w:rsidRDefault="009E6EE7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优得40分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良得30分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，一般得10分。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50D3">
        <w:trPr>
          <w:trHeight w:val="965"/>
          <w:jc w:val="center"/>
        </w:trPr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4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综合实力</w:t>
            </w:r>
          </w:p>
          <w:p w:rsidR="009150D3" w:rsidRDefault="009E6EE7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3.1业绩证明：每个业绩得5分，最高提供业绩不超过4项。没有此类业绩不得分。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50D3">
        <w:trPr>
          <w:trHeight w:val="90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150D3">
            <w:pPr>
              <w:spacing w:line="50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150D3" w:rsidRDefault="009150D3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3.2比选文件：从比选文件制作规范、填写完整、内容详实、表述清晰、无前后矛盾等方面进行综合评审。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优得10分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良得5分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150D3">
            <w:pPr>
              <w:spacing w:line="50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150D3">
        <w:trPr>
          <w:trHeight w:val="90"/>
          <w:jc w:val="center"/>
        </w:trPr>
        <w:tc>
          <w:tcPr>
            <w:tcW w:w="8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总分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50D3">
        <w:trPr>
          <w:trHeight w:val="90"/>
          <w:jc w:val="center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评分人：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评分日期：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D3" w:rsidRDefault="009E6EE7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0D3" w:rsidRDefault="009150D3">
            <w:pPr>
              <w:spacing w:line="50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9150D3" w:rsidRDefault="009150D3">
      <w:pPr>
        <w:rPr>
          <w:rFonts w:ascii="宋体" w:eastAsia="宋体" w:hAnsi="宋体" w:cs="宋体"/>
          <w:sz w:val="32"/>
          <w:szCs w:val="32"/>
        </w:rPr>
      </w:pPr>
    </w:p>
    <w:sectPr w:rsidR="009150D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04"/>
    <w:rsid w:val="00025C41"/>
    <w:rsid w:val="0005292C"/>
    <w:rsid w:val="0006772F"/>
    <w:rsid w:val="000E1AB8"/>
    <w:rsid w:val="0017490A"/>
    <w:rsid w:val="001837E7"/>
    <w:rsid w:val="00186366"/>
    <w:rsid w:val="002A1894"/>
    <w:rsid w:val="002C4238"/>
    <w:rsid w:val="00303128"/>
    <w:rsid w:val="00455180"/>
    <w:rsid w:val="0047293B"/>
    <w:rsid w:val="00667358"/>
    <w:rsid w:val="006800E8"/>
    <w:rsid w:val="006E54E1"/>
    <w:rsid w:val="007C12AC"/>
    <w:rsid w:val="007D6E95"/>
    <w:rsid w:val="00830527"/>
    <w:rsid w:val="009150D3"/>
    <w:rsid w:val="00973839"/>
    <w:rsid w:val="009976B8"/>
    <w:rsid w:val="009E6EE7"/>
    <w:rsid w:val="00A32212"/>
    <w:rsid w:val="00AB6040"/>
    <w:rsid w:val="00AE10AB"/>
    <w:rsid w:val="00B33206"/>
    <w:rsid w:val="00B90421"/>
    <w:rsid w:val="00B956F4"/>
    <w:rsid w:val="00BB3304"/>
    <w:rsid w:val="00BC5636"/>
    <w:rsid w:val="00C21441"/>
    <w:rsid w:val="00C248F5"/>
    <w:rsid w:val="00C9350D"/>
    <w:rsid w:val="00D76773"/>
    <w:rsid w:val="00E14FBB"/>
    <w:rsid w:val="00E76AB9"/>
    <w:rsid w:val="00FF74B7"/>
    <w:rsid w:val="046447CE"/>
    <w:rsid w:val="04761D05"/>
    <w:rsid w:val="047C1980"/>
    <w:rsid w:val="05D46555"/>
    <w:rsid w:val="067A6AAA"/>
    <w:rsid w:val="0EEC7A8F"/>
    <w:rsid w:val="177B4F54"/>
    <w:rsid w:val="1A3D4BBB"/>
    <w:rsid w:val="229E5B79"/>
    <w:rsid w:val="251B16CE"/>
    <w:rsid w:val="26AF37C4"/>
    <w:rsid w:val="2E210802"/>
    <w:rsid w:val="349A538A"/>
    <w:rsid w:val="37E809C3"/>
    <w:rsid w:val="397730CA"/>
    <w:rsid w:val="3AD24F2E"/>
    <w:rsid w:val="44E41D47"/>
    <w:rsid w:val="468175E4"/>
    <w:rsid w:val="4A107E00"/>
    <w:rsid w:val="4ECF0762"/>
    <w:rsid w:val="5E302069"/>
    <w:rsid w:val="5E8637C9"/>
    <w:rsid w:val="61E70C49"/>
    <w:rsid w:val="6C1679D3"/>
    <w:rsid w:val="6EFE4D2D"/>
    <w:rsid w:val="6FAF5554"/>
    <w:rsid w:val="701B4413"/>
    <w:rsid w:val="766D7DC9"/>
    <w:rsid w:val="7868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semiHidden/>
    <w:qFormat/>
    <w:pPr>
      <w:spacing w:line="560" w:lineRule="exact"/>
    </w:pPr>
  </w:style>
  <w:style w:type="paragraph" w:styleId="a3">
    <w:name w:val="Body Text"/>
    <w:basedOn w:val="a"/>
    <w:qFormat/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semiHidden/>
    <w:qFormat/>
    <w:pPr>
      <w:spacing w:line="560" w:lineRule="exact"/>
    </w:pPr>
  </w:style>
  <w:style w:type="paragraph" w:styleId="a3">
    <w:name w:val="Body Text"/>
    <w:basedOn w:val="a"/>
    <w:qFormat/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Sky123.Org</cp:lastModifiedBy>
  <cp:revision>12</cp:revision>
  <cp:lastPrinted>2021-06-04T03:14:00Z</cp:lastPrinted>
  <dcterms:created xsi:type="dcterms:W3CDTF">2021-05-20T02:41:00Z</dcterms:created>
  <dcterms:modified xsi:type="dcterms:W3CDTF">2021-06-04T03:34:00Z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748335155_btnclosed</vt:lpwstr>
  </property>
  <property fmtid="{D5CDD505-2E9C-101B-9397-08002B2CF9AE}" pid="4" name="ICV">
    <vt:lpwstr>4B80CC39AE1A4323AFE2DDD2EB4A2D21</vt:lpwstr>
  </property>
</Properties>
</file>